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Online </w:t>
      </w:r>
      <w:r w:rsidDel="00000000" w:rsidR="00000000" w:rsidRPr="00000000">
        <w:rPr>
          <w:rFonts w:ascii="Times New Roman" w:cs="Times New Roman" w:eastAsia="Times New Roman" w:hAnsi="Times New Roman"/>
          <w:b w:val="1"/>
          <w:sz w:val="28"/>
          <w:szCs w:val="28"/>
          <w:u w:val="single"/>
          <w:rtl w:val="0"/>
        </w:rPr>
        <w:t xml:space="preserve">TTCT Preparatory Course 2025</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a Preparatory Teaching Course is to give musicians the opportunity to explore their skills as aspiring teachers. This course would be the next step in the Comhaltas Education Programme and would bridge the gap between the SCT and the TTCT. While a candidate gains the valuable teaching experience necessary for entrance to the TTCT, this course gives the teacher guidelines and the incentive to further enhance their potential.  This one day course is aimed at potential teachers from 16 years of age and up. No previous teaching experience is required. This course also provides an incentive for current TTCT teachers to refresh their knowledge and skills if they so wish.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Course covers Methodology, Common Repertoire Types, Child Protection, SCT as a teaching tool, Teaching Practice/Demonstration and concludes with Reflection and Discussion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b w:val="1"/>
          <w:rtl w:val="0"/>
        </w:rPr>
        <w:t xml:space="preserve">Sunday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21st of </w:t>
      </w:r>
      <w:r w:rsidDel="00000000" w:rsidR="00000000" w:rsidRPr="00000000">
        <w:rPr>
          <w:rFonts w:ascii="Times New Roman" w:cs="Times New Roman" w:eastAsia="Times New Roman" w:hAnsi="Times New Roman"/>
          <w:b w:val="1"/>
          <w:rtl w:val="0"/>
        </w:rPr>
        <w:t xml:space="preserve">September 2024</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Time: </w:t>
      </w:r>
      <w:r w:rsidDel="00000000" w:rsidR="00000000" w:rsidRPr="00000000">
        <w:rPr>
          <w:rFonts w:ascii="Times New Roman" w:cs="Times New Roman" w:eastAsia="Times New Roman" w:hAnsi="Times New Roman"/>
          <w:b w:val="1"/>
          <w:rtl w:val="0"/>
        </w:rPr>
        <w:t xml:space="preserve">10.00am – 5.00pm.</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Fee: </w:t>
      </w:r>
      <w:r w:rsidDel="00000000" w:rsidR="00000000" w:rsidRPr="00000000">
        <w:rPr>
          <w:rFonts w:ascii="Times New Roman" w:cs="Times New Roman" w:eastAsia="Times New Roman" w:hAnsi="Times New Roman"/>
          <w:b w:val="1"/>
          <w:rtl w:val="0"/>
        </w:rPr>
        <w:t xml:space="preserve">€50</w:t>
      </w:r>
      <w:r w:rsidDel="00000000" w:rsidR="00000000" w:rsidRPr="00000000">
        <w:rPr>
          <w:rFonts w:ascii="Times New Roman" w:cs="Times New Roman" w:eastAsia="Times New Roman" w:hAnsi="Times New Roman"/>
          <w:vertAlign w:val="superscript"/>
          <w:rtl w:val="0"/>
        </w:rPr>
        <w:tab/>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interested in this course please fill out the short application below and email it to </w:t>
      </w:r>
      <w:hyperlink r:id="rId7">
        <w:r w:rsidDel="00000000" w:rsidR="00000000" w:rsidRPr="00000000">
          <w:rPr>
            <w:rFonts w:ascii="Times New Roman" w:cs="Times New Roman" w:eastAsia="Times New Roman" w:hAnsi="Times New Roman"/>
            <w:color w:val="0563c1"/>
            <w:u w:val="single"/>
            <w:rtl w:val="0"/>
          </w:rPr>
          <w:t xml:space="preserve">eolas@comhaltas.ie</w:t>
        </w:r>
      </w:hyperlink>
      <w:r w:rsidDel="00000000" w:rsidR="00000000" w:rsidRPr="00000000">
        <w:rPr>
          <w:rFonts w:ascii="Times New Roman" w:cs="Times New Roman" w:eastAsia="Times New Roman" w:hAnsi="Times New Roman"/>
          <w:rtl w:val="0"/>
        </w:rPr>
        <w:t xml:space="preserve"> as soon as possible as spaces are limited.</w:t>
      </w:r>
    </w:p>
    <w:p w:rsidR="00000000" w:rsidDel="00000000" w:rsidP="00000000" w:rsidRDefault="00000000" w:rsidRPr="00000000" w14:paraId="0000000C">
      <w:pPr>
        <w:ind w:left="-1134" w:right="-11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bl>
      <w:tblPr>
        <w:tblStyle w:val="Table1"/>
        <w:tblpPr w:leftFromText="180" w:rightFromText="180" w:topFromText="0" w:bottomFromText="0" w:vertAnchor="text" w:horzAnchor="text" w:tblpX="0" w:tblpY="322"/>
        <w:tblW w:w="10428.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77"/>
        <w:gridCol w:w="404"/>
        <w:gridCol w:w="369"/>
        <w:gridCol w:w="352"/>
        <w:gridCol w:w="427"/>
        <w:gridCol w:w="427"/>
        <w:gridCol w:w="352"/>
        <w:gridCol w:w="341"/>
        <w:gridCol w:w="341"/>
        <w:gridCol w:w="341"/>
        <w:gridCol w:w="341"/>
        <w:gridCol w:w="316"/>
        <w:gridCol w:w="316"/>
        <w:gridCol w:w="316"/>
        <w:gridCol w:w="316"/>
        <w:gridCol w:w="316"/>
        <w:gridCol w:w="316"/>
        <w:gridCol w:w="316"/>
        <w:gridCol w:w="316"/>
        <w:gridCol w:w="316"/>
        <w:gridCol w:w="316"/>
        <w:gridCol w:w="316"/>
        <w:gridCol w:w="316"/>
        <w:gridCol w:w="316"/>
        <w:gridCol w:w="316"/>
        <w:gridCol w:w="316"/>
        <w:gridCol w:w="316"/>
        <w:tblGridChange w:id="0">
          <w:tblGrid>
            <w:gridCol w:w="1677"/>
            <w:gridCol w:w="404"/>
            <w:gridCol w:w="369"/>
            <w:gridCol w:w="352"/>
            <w:gridCol w:w="427"/>
            <w:gridCol w:w="427"/>
            <w:gridCol w:w="352"/>
            <w:gridCol w:w="341"/>
            <w:gridCol w:w="341"/>
            <w:gridCol w:w="341"/>
            <w:gridCol w:w="341"/>
            <w:gridCol w:w="316"/>
            <w:gridCol w:w="316"/>
            <w:gridCol w:w="316"/>
            <w:gridCol w:w="316"/>
            <w:gridCol w:w="316"/>
            <w:gridCol w:w="316"/>
            <w:gridCol w:w="316"/>
            <w:gridCol w:w="316"/>
            <w:gridCol w:w="316"/>
            <w:gridCol w:w="316"/>
            <w:gridCol w:w="316"/>
            <w:gridCol w:w="316"/>
            <w:gridCol w:w="316"/>
            <w:gridCol w:w="316"/>
            <w:gridCol w:w="316"/>
            <w:gridCol w:w="316"/>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0D">
            <w:pPr>
              <w:ind w:right="-472"/>
              <w:rPr>
                <w:b w:val="1"/>
              </w:rPr>
            </w:pPr>
            <w:r w:rsidDel="00000000" w:rsidR="00000000" w:rsidRPr="00000000">
              <w:rPr>
                <w:b w:val="1"/>
                <w:rtl w:val="0"/>
              </w:rPr>
              <w:t xml:space="preserve">Forename(s):</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0E">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0F">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0">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1">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2">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13">
            <w:pPr>
              <w:ind w:right="-472"/>
              <w:rPr>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4">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5">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6">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7">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8">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9">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A">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B">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C">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D">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E">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F">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2">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3">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4">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5">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6">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7">
            <w:pPr>
              <w:ind w:right="-472"/>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28">
            <w:pPr>
              <w:ind w:right="-472"/>
              <w:rPr>
                <w:b w:val="1"/>
              </w:rPr>
            </w:pPr>
            <w:r w:rsidDel="00000000" w:rsidR="00000000" w:rsidRPr="00000000">
              <w:rPr>
                <w:b w:val="1"/>
                <w:rtl w:val="0"/>
              </w:rPr>
              <w:t xml:space="preserve">Surname:</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9">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A">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B">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C">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D">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2E">
            <w:pPr>
              <w:ind w:right="-472"/>
              <w:rPr>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F">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2">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3">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4">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5">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6">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7">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8">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9">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A">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B">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C">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D">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E">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3F">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2">
            <w:pPr>
              <w:ind w:right="-472"/>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43">
            <w:pPr>
              <w:ind w:right="-472"/>
              <w:rPr>
                <w:b w:val="1"/>
              </w:rPr>
            </w:pPr>
            <w:r w:rsidDel="00000000" w:rsidR="00000000" w:rsidRPr="00000000">
              <w:rPr>
                <w:b w:val="1"/>
                <w:rtl w:val="0"/>
              </w:rPr>
              <w:t xml:space="preserve">Date Of Birth:</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44">
            <w:pPr>
              <w:ind w:right="-472"/>
              <w:rPr>
                <w:b w:val="1"/>
                <w:color w:val="c0c0c0"/>
              </w:rPr>
            </w:pPr>
            <w:r w:rsidDel="00000000" w:rsidR="00000000" w:rsidRPr="00000000">
              <w:rPr>
                <w:b w:val="1"/>
                <w:color w:val="c0c0c0"/>
                <w:rtl w:val="0"/>
              </w:rPr>
              <w:t xml:space="preserve">D</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45">
            <w:pPr>
              <w:ind w:right="-472"/>
              <w:rPr>
                <w:b w:val="1"/>
                <w:color w:val="c0c0c0"/>
              </w:rPr>
            </w:pPr>
            <w:r w:rsidDel="00000000" w:rsidR="00000000" w:rsidRPr="00000000">
              <w:rPr>
                <w:b w:val="1"/>
                <w:color w:val="c0c0c0"/>
                <w:rtl w:val="0"/>
              </w:rPr>
              <w:t xml:space="preserve">D</w:t>
            </w:r>
          </w:p>
        </w:tc>
        <w:tc>
          <w:tcPr>
            <w:tcBorders>
              <w:top w:color="000000" w:space="0" w:sz="12" w:val="single"/>
              <w:left w:color="000000" w:space="0" w:sz="0" w:val="nil"/>
              <w:bottom w:color="000000" w:space="0" w:sz="12" w:val="single"/>
              <w:right w:color="000000" w:space="0" w:sz="12" w:val="single"/>
            </w:tcBorders>
          </w:tcPr>
          <w:p w:rsidR="00000000" w:rsidDel="00000000" w:rsidP="00000000" w:rsidRDefault="00000000" w:rsidRPr="00000000" w14:paraId="00000046">
            <w:pPr>
              <w:ind w:right="-472"/>
              <w:rPr>
                <w:b w:val="1"/>
              </w:rPr>
            </w:pPr>
            <w:r w:rsidDel="00000000" w:rsidR="00000000" w:rsidRPr="00000000">
              <w:rPr>
                <w:b w:val="1"/>
                <w:rtl w:val="0"/>
              </w:rPr>
              <w:t xml:space="preserve">/</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47">
            <w:pPr>
              <w:ind w:right="-472"/>
              <w:rPr>
                <w:b w:val="1"/>
                <w:color w:val="c0c0c0"/>
              </w:rPr>
            </w:pPr>
            <w:r w:rsidDel="00000000" w:rsidR="00000000" w:rsidRPr="00000000">
              <w:rPr>
                <w:b w:val="1"/>
                <w:color w:val="c0c0c0"/>
                <w:rtl w:val="0"/>
              </w:rPr>
              <w:t xml:space="preserve">M</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48">
            <w:pPr>
              <w:ind w:right="-472"/>
              <w:rPr>
                <w:b w:val="1"/>
                <w:color w:val="c0c0c0"/>
              </w:rPr>
            </w:pPr>
            <w:r w:rsidDel="00000000" w:rsidR="00000000" w:rsidRPr="00000000">
              <w:rPr>
                <w:b w:val="1"/>
                <w:color w:val="c0c0c0"/>
                <w:rtl w:val="0"/>
              </w:rPr>
              <w:t xml:space="preserve">M</w:t>
            </w:r>
          </w:p>
        </w:tc>
        <w:tc>
          <w:tcPr>
            <w:tcBorders>
              <w:top w:color="000000" w:space="0" w:sz="12" w:val="single"/>
              <w:left w:color="000000" w:space="0" w:sz="0" w:val="nil"/>
              <w:bottom w:color="000000" w:space="0" w:sz="12" w:val="single"/>
              <w:right w:color="000000" w:space="0" w:sz="12" w:val="single"/>
            </w:tcBorders>
          </w:tcPr>
          <w:p w:rsidR="00000000" w:rsidDel="00000000" w:rsidP="00000000" w:rsidRDefault="00000000" w:rsidRPr="00000000" w14:paraId="00000049">
            <w:pPr>
              <w:ind w:right="-472"/>
              <w:rPr>
                <w:b w:val="1"/>
              </w:rPr>
            </w:pPr>
            <w:r w:rsidDel="00000000" w:rsidR="00000000" w:rsidRPr="00000000">
              <w:rPr>
                <w:b w:val="1"/>
                <w:rtl w:val="0"/>
              </w:rPr>
              <w:t xml:space="preserve">/</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A">
            <w:pPr>
              <w:ind w:right="-472"/>
              <w:rPr>
                <w:b w:val="1"/>
                <w:color w:val="c0c0c0"/>
              </w:rPr>
            </w:pPr>
            <w:r w:rsidDel="00000000" w:rsidR="00000000" w:rsidRPr="00000000">
              <w:rPr>
                <w:b w:val="1"/>
                <w:color w:val="c0c0c0"/>
                <w:rtl w:val="0"/>
              </w:rPr>
              <w:t xml:space="preserve">Y</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B">
            <w:pPr>
              <w:ind w:right="-472"/>
              <w:rPr>
                <w:b w:val="1"/>
                <w:color w:val="c0c0c0"/>
              </w:rPr>
            </w:pPr>
            <w:r w:rsidDel="00000000" w:rsidR="00000000" w:rsidRPr="00000000">
              <w:rPr>
                <w:b w:val="1"/>
                <w:color w:val="c0c0c0"/>
                <w:rtl w:val="0"/>
              </w:rPr>
              <w:t xml:space="preserve">Y</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C">
            <w:pPr>
              <w:ind w:right="-472"/>
              <w:rPr>
                <w:b w:val="1"/>
                <w:color w:val="c0c0c0"/>
              </w:rPr>
            </w:pPr>
            <w:r w:rsidDel="00000000" w:rsidR="00000000" w:rsidRPr="00000000">
              <w:rPr>
                <w:b w:val="1"/>
                <w:color w:val="c0c0c0"/>
                <w:rtl w:val="0"/>
              </w:rPr>
              <w:t xml:space="preserve">Y</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4D">
            <w:pPr>
              <w:ind w:right="-472"/>
              <w:rPr>
                <w:b w:val="1"/>
                <w:color w:val="c0c0c0"/>
              </w:rPr>
            </w:pPr>
            <w:r w:rsidDel="00000000" w:rsidR="00000000" w:rsidRPr="00000000">
              <w:rPr>
                <w:b w:val="1"/>
                <w:color w:val="c0c0c0"/>
                <w:rtl w:val="0"/>
              </w:rPr>
              <w:t xml:space="preserve">Y</w:t>
            </w:r>
          </w:p>
        </w:tc>
      </w:tr>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4E">
            <w:pPr>
              <w:ind w:right="-472"/>
              <w:rPr>
                <w:b w:val="1"/>
              </w:rPr>
            </w:pPr>
            <w:r w:rsidDel="00000000" w:rsidR="00000000" w:rsidRPr="00000000">
              <w:rPr>
                <w:b w:val="1"/>
                <w:rtl w:val="0"/>
              </w:rPr>
              <w:t xml:space="preserve">Instrument/s:</w:t>
            </w:r>
          </w:p>
        </w:tc>
        <w:tc>
          <w:tcPr>
            <w:gridSpan w:val="26"/>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4F">
            <w:pPr>
              <w:ind w:right="-472"/>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69">
            <w:pPr>
              <w:ind w:right="-472"/>
              <w:rPr>
                <w:b w:val="1"/>
              </w:rPr>
            </w:pPr>
            <w:r w:rsidDel="00000000" w:rsidR="00000000" w:rsidRPr="00000000">
              <w:rPr>
                <w:b w:val="1"/>
                <w:rtl w:val="0"/>
              </w:rPr>
              <w:t xml:space="preserve"> Email: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A">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B">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C">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D">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E">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6F">
            <w:pPr>
              <w:ind w:right="-472"/>
              <w:rPr>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2">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3">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4">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5">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6">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7">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8">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9">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A">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B">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C">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D">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E">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7F">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2">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3">
            <w:pPr>
              <w:ind w:right="-472"/>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84">
            <w:pPr>
              <w:ind w:right="-472"/>
              <w:rPr>
                <w:b w:val="1"/>
              </w:rPr>
            </w:pPr>
            <w:r w:rsidDel="00000000" w:rsidR="00000000" w:rsidRPr="00000000">
              <w:rPr>
                <w:b w:val="1"/>
                <w:rtl w:val="0"/>
              </w:rPr>
              <w:t xml:space="preserve">Mobile:</w:t>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5">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6">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7">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8">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9">
            <w:pPr>
              <w:ind w:right="-472"/>
              <w:rPr>
                <w:b w:val="1"/>
              </w:rPr>
            </w:pPr>
            <w:r w:rsidDel="00000000" w:rsidR="00000000" w:rsidRPr="00000000">
              <w:rPr>
                <w:rtl w:val="0"/>
              </w:rPr>
            </w:r>
          </w:p>
        </w:tc>
        <w:tc>
          <w:tcPr>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8A">
            <w:pPr>
              <w:ind w:right="-472"/>
              <w:rPr>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B">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C">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D">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E">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8F">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0">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1">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2">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3">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4">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5">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6">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7">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8">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9">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A">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B">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C">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D">
            <w:pPr>
              <w:ind w:right="-472"/>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9E">
            <w:pPr>
              <w:ind w:right="-472"/>
              <w:rPr/>
            </w:pPr>
            <w:r w:rsidDel="00000000" w:rsidR="00000000" w:rsidRPr="00000000">
              <w:rPr>
                <w:rtl w:val="0"/>
              </w:rPr>
            </w:r>
          </w:p>
        </w:tc>
      </w:tr>
      <w:tr>
        <w:trPr>
          <w:cantSplit w:val="0"/>
          <w:trHeight w:val="407"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9F">
            <w:pPr>
              <w:ind w:right="-472"/>
              <w:rPr>
                <w:b w:val="1"/>
              </w:rPr>
            </w:pPr>
            <w:r w:rsidDel="00000000" w:rsidR="00000000" w:rsidRPr="00000000">
              <w:rPr>
                <w:b w:val="1"/>
                <w:rtl w:val="0"/>
              </w:rPr>
              <w:t xml:space="preserve">Teaching Experience</w:t>
            </w:r>
          </w:p>
          <w:p w:rsidR="00000000" w:rsidDel="00000000" w:rsidP="00000000" w:rsidRDefault="00000000" w:rsidRPr="00000000" w14:paraId="000000A0">
            <w:pPr>
              <w:ind w:right="-472"/>
              <w:rPr>
                <w:b w:val="1"/>
              </w:rPr>
            </w:pPr>
            <w:r w:rsidDel="00000000" w:rsidR="00000000" w:rsidRPr="00000000">
              <w:rPr>
                <w:b w:val="1"/>
                <w:rtl w:val="0"/>
              </w:rPr>
              <w:t xml:space="preserve">(if any):</w:t>
            </w:r>
          </w:p>
        </w:tc>
        <w:tc>
          <w:tcPr>
            <w:gridSpan w:val="26"/>
            <w:tcBorders>
              <w:top w:color="000000" w:space="0" w:sz="12" w:val="single"/>
              <w:left w:color="000000" w:space="0" w:sz="0" w:val="nil"/>
              <w:bottom w:color="000000" w:space="0" w:sz="12" w:val="single"/>
              <w:right w:color="000000" w:space="0" w:sz="12" w:val="single"/>
            </w:tcBorders>
            <w:vAlign w:val="center"/>
          </w:tcPr>
          <w:p w:rsidR="00000000" w:rsidDel="00000000" w:rsidP="00000000" w:rsidRDefault="00000000" w:rsidRPr="00000000" w14:paraId="000000A1">
            <w:pPr>
              <w:ind w:right="-472"/>
              <w:rPr/>
            </w:pPr>
            <w:r w:rsidDel="00000000" w:rsidR="00000000" w:rsidRPr="00000000">
              <w:rPr>
                <w:rtl w:val="0"/>
              </w:rPr>
            </w:r>
          </w:p>
          <w:p w:rsidR="00000000" w:rsidDel="00000000" w:rsidP="00000000" w:rsidRDefault="00000000" w:rsidRPr="00000000" w14:paraId="000000A2">
            <w:pPr>
              <w:ind w:right="-472"/>
              <w:rPr/>
            </w:pPr>
            <w:r w:rsidDel="00000000" w:rsidR="00000000" w:rsidRPr="00000000">
              <w:rPr>
                <w:rtl w:val="0"/>
              </w:rPr>
            </w:r>
          </w:p>
          <w:p w:rsidR="00000000" w:rsidDel="00000000" w:rsidP="00000000" w:rsidRDefault="00000000" w:rsidRPr="00000000" w14:paraId="000000A3">
            <w:pPr>
              <w:ind w:right="-472"/>
              <w:rPr/>
            </w:pPr>
            <w:r w:rsidDel="00000000" w:rsidR="00000000" w:rsidRPr="00000000">
              <w:rPr>
                <w:rtl w:val="0"/>
              </w:rPr>
            </w:r>
          </w:p>
          <w:p w:rsidR="00000000" w:rsidDel="00000000" w:rsidP="00000000" w:rsidRDefault="00000000" w:rsidRPr="00000000" w14:paraId="000000A4">
            <w:pPr>
              <w:ind w:right="-472"/>
              <w:rPr/>
            </w:pPr>
            <w:r w:rsidDel="00000000" w:rsidR="00000000" w:rsidRPr="00000000">
              <w:rPr>
                <w:rtl w:val="0"/>
              </w:rPr>
            </w:r>
          </w:p>
          <w:p w:rsidR="00000000" w:rsidDel="00000000" w:rsidP="00000000" w:rsidRDefault="00000000" w:rsidRPr="00000000" w14:paraId="000000A5">
            <w:pPr>
              <w:ind w:right="-472"/>
              <w:rPr/>
            </w:pPr>
            <w:r w:rsidDel="00000000" w:rsidR="00000000" w:rsidRPr="00000000">
              <w:rPr>
                <w:rtl w:val="0"/>
              </w:rPr>
            </w:r>
          </w:p>
        </w:tc>
      </w:tr>
    </w:tbl>
    <w:p w:rsidR="00000000" w:rsidDel="00000000" w:rsidP="00000000" w:rsidRDefault="00000000" w:rsidRPr="00000000" w14:paraId="000000BF">
      <w:pPr>
        <w:ind w:right="-76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left="-709" w:right="-761"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*Parent/Guardian to complete form if applicant is under 18.</w:t>
        <w:tab/>
      </w:r>
      <w:r w:rsidDel="00000000" w:rsidR="00000000" w:rsidRPr="00000000">
        <w:rPr>
          <w:rtl w:val="0"/>
        </w:rPr>
      </w:r>
    </w:p>
    <w:p w:rsidR="00000000" w:rsidDel="00000000" w:rsidP="00000000" w:rsidRDefault="00000000" w:rsidRPr="00000000" w14:paraId="000000C1">
      <w:pPr>
        <w:ind w:right="-76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right="-76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 Deadline </w:t>
      </w:r>
      <w:r w:rsidDel="00000000" w:rsidR="00000000" w:rsidRPr="00000000">
        <w:rPr>
          <w:b w:val="1"/>
          <w:sz w:val="28"/>
          <w:szCs w:val="28"/>
          <w:rtl w:val="0"/>
        </w:rPr>
        <w:t xml:space="preserve">Sunday 14th of September 2025</w:t>
      </w:r>
      <w:r w:rsidDel="00000000" w:rsidR="00000000" w:rsidRPr="00000000">
        <w:rPr>
          <w:rtl w:val="0"/>
        </w:rPr>
      </w:r>
    </w:p>
    <w:sectPr>
      <w:headerReference r:id="rId8" w:type="default"/>
      <w:footerReference r:id="rId9" w:type="default"/>
      <w:pgSz w:h="16840" w:w="11900" w:orient="portrait"/>
      <w:pgMar w:bottom="614" w:top="280" w:left="1440" w:right="1440" w:header="708" w:footer="1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178348" cy="586339"/>
          <wp:effectExtent b="0" l="0" r="0" t="0"/>
          <wp:docPr descr="A close up of a sign&#10;&#10;Description automatically generated" id="6" name="image1.png"/>
          <a:graphic>
            <a:graphicData uri="http://schemas.openxmlformats.org/drawingml/2006/picture">
              <pic:pic>
                <pic:nvPicPr>
                  <pic:cNvPr descr="A close up of a sign&#10;&#10;Description automatically generated" id="0" name="image1.png"/>
                  <pic:cNvPicPr preferRelativeResize="0"/>
                </pic:nvPicPr>
                <pic:blipFill>
                  <a:blip r:embed="rId1"/>
                  <a:srcRect b="0" l="0" r="0" t="0"/>
                  <a:stretch>
                    <a:fillRect/>
                  </a:stretch>
                </pic:blipFill>
                <pic:spPr>
                  <a:xfrm>
                    <a:off x="0" y="0"/>
                    <a:ext cx="3178348" cy="58633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324100" cy="583565"/>
          <wp:effectExtent b="0" l="0" r="0" t="0"/>
          <wp:docPr descr="A close up of a sign&#10;&#10;Description automatically generated" id="7" name="image2.png"/>
          <a:graphic>
            <a:graphicData uri="http://schemas.openxmlformats.org/drawingml/2006/picture">
              <pic:pic>
                <pic:nvPicPr>
                  <pic:cNvPr descr="A close up of a sign&#10;&#10;Description automatically generated" id="0" name="image2.png"/>
                  <pic:cNvPicPr preferRelativeResize="0"/>
                </pic:nvPicPr>
                <pic:blipFill>
                  <a:blip r:embed="rId2"/>
                  <a:srcRect b="0" l="0" r="0" t="0"/>
                  <a:stretch>
                    <a:fillRect/>
                  </a:stretch>
                </pic:blipFill>
                <pic:spPr>
                  <a:xfrm>
                    <a:off x="0" y="0"/>
                    <a:ext cx="2324100" cy="58356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32 Cearnóg Belgrave,  Baile na Manach,  Co. Átha Cliath,   A94 XV02.       Tel. +353 1 2800295</w:t>
    </w:r>
  </w:p>
  <w:p w:rsidR="00000000" w:rsidDel="00000000" w:rsidP="00000000" w:rsidRDefault="00000000" w:rsidRPr="00000000" w14:paraId="000000C6">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eolas@comhaltas.ie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WWW: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http://www.comhaltas.ie</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17B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17B7"/>
    <w:pPr>
      <w:spacing w:after="160" w:line="259" w:lineRule="auto"/>
      <w:ind w:left="720"/>
      <w:contextualSpacing w:val="1"/>
    </w:pPr>
    <w:rPr>
      <w:sz w:val="22"/>
      <w:szCs w:val="22"/>
      <w:lang w:val="en-GB"/>
    </w:rPr>
  </w:style>
  <w:style w:type="character" w:styleId="Strong">
    <w:name w:val="Strong"/>
    <w:basedOn w:val="DefaultParagraphFont"/>
    <w:uiPriority w:val="22"/>
    <w:qFormat w:val="1"/>
    <w:rsid w:val="006E17B7"/>
    <w:rPr>
      <w:b w:val="1"/>
      <w:bCs w:val="1"/>
    </w:rPr>
  </w:style>
  <w:style w:type="character" w:styleId="Hyperlink">
    <w:name w:val="Hyperlink"/>
    <w:basedOn w:val="DefaultParagraphFont"/>
    <w:uiPriority w:val="99"/>
    <w:unhideWhenUsed w:val="1"/>
    <w:rsid w:val="009E652E"/>
    <w:rPr>
      <w:color w:val="0563c1" w:themeColor="hyperlink"/>
      <w:u w:val="single"/>
    </w:rPr>
  </w:style>
  <w:style w:type="character" w:styleId="UnresolvedMention">
    <w:name w:val="Unresolved Mention"/>
    <w:basedOn w:val="DefaultParagraphFont"/>
    <w:uiPriority w:val="99"/>
    <w:semiHidden w:val="1"/>
    <w:unhideWhenUsed w:val="1"/>
    <w:rsid w:val="009E652E"/>
    <w:rPr>
      <w:color w:val="605e5c"/>
      <w:shd w:color="auto" w:fill="e1dfdd" w:val="clear"/>
    </w:rPr>
  </w:style>
  <w:style w:type="character" w:styleId="apple-converted-space" w:customStyle="1">
    <w:name w:val="apple-converted-space"/>
    <w:basedOn w:val="DefaultParagraphFont"/>
    <w:rsid w:val="0022534B"/>
  </w:style>
  <w:style w:type="paragraph" w:styleId="Header">
    <w:name w:val="header"/>
    <w:basedOn w:val="Normal"/>
    <w:link w:val="HeaderChar"/>
    <w:uiPriority w:val="99"/>
    <w:unhideWhenUsed w:val="1"/>
    <w:rsid w:val="004B6D71"/>
    <w:pPr>
      <w:tabs>
        <w:tab w:val="center" w:pos="4513"/>
        <w:tab w:val="right" w:pos="9026"/>
      </w:tabs>
    </w:pPr>
  </w:style>
  <w:style w:type="character" w:styleId="HeaderChar" w:customStyle="1">
    <w:name w:val="Header Char"/>
    <w:basedOn w:val="DefaultParagraphFont"/>
    <w:link w:val="Header"/>
    <w:uiPriority w:val="99"/>
    <w:rsid w:val="004B6D71"/>
  </w:style>
  <w:style w:type="paragraph" w:styleId="Footer">
    <w:name w:val="footer"/>
    <w:basedOn w:val="Normal"/>
    <w:link w:val="FooterChar"/>
    <w:uiPriority w:val="99"/>
    <w:unhideWhenUsed w:val="1"/>
    <w:rsid w:val="004B6D71"/>
    <w:pPr>
      <w:tabs>
        <w:tab w:val="center" w:pos="4513"/>
        <w:tab w:val="right" w:pos="9026"/>
      </w:tabs>
    </w:pPr>
  </w:style>
  <w:style w:type="character" w:styleId="FooterChar" w:customStyle="1">
    <w:name w:val="Footer Char"/>
    <w:basedOn w:val="DefaultParagraphFont"/>
    <w:link w:val="Footer"/>
    <w:uiPriority w:val="99"/>
    <w:rsid w:val="004B6D71"/>
  </w:style>
  <w:style w:type="character" w:styleId="PageNumber">
    <w:name w:val="page number"/>
    <w:basedOn w:val="DefaultParagraphFont"/>
    <w:uiPriority w:val="99"/>
    <w:semiHidden w:val="1"/>
    <w:unhideWhenUsed w:val="1"/>
    <w:rsid w:val="004B6D7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olas@comhaltas.i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eolas@comhaltas.ie" TargetMode="External"/><Relationship Id="rId4" Type="http://schemas.openxmlformats.org/officeDocument/2006/relationships/hyperlink" Target="http://www.comhalta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oqDNiv49yiFC3HeEHcE3L8Rbw==">CgMxLjA4AHIhMVlwbkJ3YW5JVk5JTXNJNmZLY0xyUFEwMjBJWXFVOGRO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2023-10-19T11:24:00Z</dcterms:created>
  <dc:creator>Majella Bartley</dc:creator>
</cp:coreProperties>
</file>